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837"/>
        <w:tblW w:w="1049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476"/>
        <w:gridCol w:w="5187"/>
        <w:gridCol w:w="3827"/>
      </w:tblGrid>
      <w:tr>
        <w:tblPrEx/>
        <w:trPr>
          <w:trHeight w:val="426"/>
        </w:trPr>
        <w:tc>
          <w:tcPr>
            <w:tcW w:w="14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  <w:tc>
          <w:tcPr>
            <w:tcW w:w="518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</w:tr>
      <w:tr>
        <w:tblPrEx/>
        <w:trPr>
          <w:trHeight w:val="426"/>
        </w:trPr>
        <w:tc>
          <w:tcPr>
            <w:tcW w:w="14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800100" cy="757240"/>
                      <wp:effectExtent l="0" t="0" r="0" b="5080"/>
                      <wp:docPr id="1" name="Рисунок 3" descr="C:\Users\gomanenko_gv\Desktop\Герб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C:\Users\gomanenko_gv\Desktop\Герб.jp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915927" cy="8668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  <a:miter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63.00pt;height:59.63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  <w:tc>
          <w:tcPr>
            <w:tcW w:w="5187" w:type="dxa"/>
            <w:textDirection w:val="lrTb"/>
            <w:noWrap w:val="false"/>
          </w:tcPr>
          <w:p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</w:r>
            <w:r>
              <w:rPr>
                <w:rFonts w:cs="Times New Roman"/>
                <w:b/>
                <w:sz w:val="24"/>
                <w:szCs w:val="24"/>
              </w:rPr>
            </w:r>
            <w:r>
              <w:rPr>
                <w:rFonts w:cs="Times New Roman"/>
                <w:b/>
                <w:sz w:val="24"/>
                <w:szCs w:val="24"/>
              </w:rPr>
            </w:r>
          </w:p>
          <w:p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</w:r>
            <w:r>
              <w:rPr>
                <w:rFonts w:cs="Times New Roman"/>
                <w:b/>
                <w:sz w:val="24"/>
                <w:szCs w:val="24"/>
              </w:rPr>
            </w:r>
            <w:r>
              <w:rPr>
                <w:rFonts w:cs="Times New Roman"/>
                <w:b/>
                <w:sz w:val="24"/>
                <w:szCs w:val="24"/>
              </w:rPr>
            </w:r>
          </w:p>
          <w:p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УПРАВЛЕНИЕ РОСРЕЕСТРА</w:t>
            </w:r>
            <w:r>
              <w:rPr>
                <w:rFonts w:cs="Times New Roman"/>
                <w:b/>
                <w:sz w:val="24"/>
                <w:szCs w:val="24"/>
              </w:rPr>
            </w:r>
            <w:r>
              <w:rPr>
                <w:rFonts w:cs="Times New Roman"/>
                <w:b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ПО ИРКУТСКОЙ ОБЛАСТИ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  <w:tc>
          <w:tcPr>
            <w:tcW w:w="3827" w:type="dxa"/>
            <w:vMerge w:val="restart"/>
            <w:textDirection w:val="lrTb"/>
            <w:noWrap w:val="false"/>
          </w:tcPr>
          <w:p>
            <w:pPr>
              <w:jc w:val="right"/>
              <w:rPr>
                <w:lang w:eastAsia="ru-RU"/>
              </w:rPr>
            </w:pPr>
            <w:r>
              <w:rPr>
                <w:lang w:eastAsia="ru-RU"/>
              </w:rPr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jc w:val="right"/>
              <w:rPr>
                <w:lang w:eastAsia="ru-RU"/>
              </w:rPr>
            </w:pPr>
            <w:r>
              <w:rPr>
                <w:lang w:eastAsia="ru-RU"/>
              </w:rPr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jc w:val="righ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  <w:p>
            <w:pPr>
              <w:jc w:val="righ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        5 августа 2026 </w:t>
            </w:r>
            <w:r>
              <w:rPr>
                <w:rFonts w:cs="Times New Roman"/>
                <w:sz w:val="24"/>
                <w:szCs w:val="24"/>
              </w:rPr>
              <w:t xml:space="preserve">года</w:t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</w:r>
          </w:p>
        </w:tc>
      </w:tr>
      <w:tr>
        <w:tblPrEx/>
        <w:trPr>
          <w:trHeight w:val="553"/>
        </w:trPr>
        <w:tc>
          <w:tcPr>
            <w:tcW w:w="1476" w:type="dxa"/>
            <w:textDirection w:val="lrTb"/>
            <w:noWrap w:val="false"/>
          </w:tcPr>
          <w:p>
            <w:pPr>
              <w:ind w:firstLine="301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  <w:tc>
          <w:tcPr>
            <w:tcW w:w="518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3827" w:type="dxa"/>
            <w:vMerge w:val="continue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</w:tbl>
    <w:p>
      <w:pPr>
        <w:contextualSpacing/>
        <w:ind w:firstLine="426"/>
        <w:jc w:val="both"/>
        <w:spacing w:after="0" w:line="240" w:lineRule="auto"/>
        <w:rPr>
          <w:rFonts w:ascii="Arial" w:hAnsi="Arial" w:eastAsia="Times New Roman" w:cs="Arial"/>
          <w:b/>
          <w:lang w:eastAsia="ru-RU"/>
        </w:rPr>
      </w:pPr>
      <w:r>
        <w:rPr>
          <w:rFonts w:ascii="Arial" w:hAnsi="Arial" w:eastAsia="Times New Roman" w:cs="Arial"/>
          <w:b/>
          <w:lang w:eastAsia="ru-RU"/>
        </w:rPr>
      </w:r>
      <w:r>
        <w:rPr>
          <w:rFonts w:ascii="Arial" w:hAnsi="Arial" w:eastAsia="Times New Roman" w:cs="Arial"/>
          <w:b/>
          <w:lang w:eastAsia="ru-RU"/>
        </w:rPr>
      </w:r>
      <w:r>
        <w:rPr>
          <w:rFonts w:ascii="Arial" w:hAnsi="Arial" w:eastAsia="Times New Roman" w:cs="Arial"/>
          <w:b/>
          <w:lang w:eastAsia="ru-RU"/>
        </w:rPr>
      </w:r>
    </w:p>
    <w:p>
      <w:pPr>
        <w:ind w:left="142"/>
        <w:jc w:val="both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highlight w:val="none"/>
        </w:rPr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</w:r>
    </w:p>
    <w:p>
      <w:pPr>
        <w:ind w:left="142"/>
        <w:jc w:val="both"/>
        <w:spacing w:after="0" w:line="240" w:lineRule="auto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</w:rPr>
        <w:t xml:space="preserve">Гаражная амнистия продлена до 1 сентября 2031 года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  <w:highlight w:val="none"/>
        </w:rPr>
      </w:r>
    </w:p>
    <w:p>
      <w:pPr>
        <w:ind w:left="142"/>
        <w:jc w:val="both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</w:r>
    </w:p>
    <w:p>
      <w:pPr>
        <w:jc w:val="both"/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</w:r>
      <w:r>
        <w:rPr>
          <w:rFonts w:ascii="Arial" w:hAnsi="Arial" w:cs="Arial"/>
          <w:bCs/>
        </w:rPr>
      </w:r>
      <w:r>
        <w:rPr>
          <w:rFonts w:ascii="Arial" w:hAnsi="Arial" w:cs="Arial"/>
          <w:bCs/>
        </w:rPr>
      </w:r>
    </w:p>
    <w:p>
      <w:pPr>
        <w:ind w:left="142" w:right="0" w:firstLine="283"/>
        <w:jc w:val="both"/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Упрощенный порядок оформления гаражей и земельных участков под ними, известный как «гаражная амнистия» продлен на 5 лет, он будет действовать до 1 сентября 2031 года.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ind w:left="0" w:right="0" w:firstLine="0"/>
        <w:jc w:val="both"/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  <w:highlight w:val="none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ind w:left="142" w:right="0" w:firstLine="283"/>
        <w:jc w:val="both"/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«Как показывает практика, в Иркутской области многие гаражи не были своевременно поставлены на учет, а значит права на них до сих пор законно не оформлены. Это связано с разными причинами, был сложным сам процесс получения технической и разрешительной документации. </w:t>
      </w:r>
      <w:r>
        <w:rPr>
          <w:rFonts w:ascii="Arial" w:hAnsi="Arial" w:cs="Arial"/>
        </w:rPr>
      </w:r>
    </w:p>
    <w:p>
      <w:pPr>
        <w:ind w:left="142" w:right="0" w:firstLine="283"/>
        <w:jc w:val="both"/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Гаражная амнистия позволяет официально зарегистрировать свое право на гараж и участок под ним на основании имеющихся документов, подтверждающих факт законного возведения объекта, а значит, без судебных издержек»</w:t>
      </w:r>
      <w:r>
        <w:rPr>
          <w:rFonts w:ascii="Arial" w:hAnsi="Arial" w:cs="Arial"/>
        </w:rPr>
        <w:t xml:space="preserve">,  – отметил руководитель регионального Росреестра Виктор Жердев.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</w:r>
      <w:r/>
    </w:p>
    <w:p>
      <w:pPr>
        <w:ind w:left="142" w:right="0" w:firstLine="283"/>
        <w:jc w:val="both"/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  <w:highlight w:val="none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jc w:val="both"/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ind w:left="142"/>
        <w:jc w:val="both"/>
        <w:spacing w:line="240" w:lineRule="auto"/>
        <w:tabs>
          <w:tab w:val="left" w:pos="567" w:leader="none"/>
        </w:tabs>
        <w:rPr>
          <w:rFonts w:ascii="Arial" w:hAnsi="Arial" w:cs="Arial"/>
          <w:i/>
          <w:color w:val="202122"/>
          <w:shd w:val="clear" w:color="auto" w:fill="ffffff"/>
        </w:rPr>
      </w:pPr>
      <w:r>
        <w:rPr>
          <w:rFonts w:ascii="Arial" w:hAnsi="Arial" w:cs="Arial"/>
          <w:i/>
          <w:color w:val="202122"/>
          <w:shd w:val="clear" w:color="auto" w:fill="ffffff"/>
        </w:rPr>
        <w:t xml:space="preserve">Пресс-служба Управления Росреестра по Иркутской области</w:t>
      </w:r>
      <w:r>
        <w:rPr>
          <w:rFonts w:ascii="Arial" w:hAnsi="Arial" w:cs="Arial"/>
          <w:i/>
          <w:color w:val="202122"/>
          <w:shd w:val="clear" w:color="auto" w:fill="ffffff"/>
        </w:rPr>
      </w:r>
      <w:r>
        <w:rPr>
          <w:rFonts w:ascii="Arial" w:hAnsi="Arial" w:cs="Arial"/>
          <w:i/>
          <w:color w:val="202122"/>
          <w:shd w:val="clear" w:color="auto" w:fill="ffffff"/>
        </w:rPr>
      </w:r>
    </w:p>
    <w:p>
      <w:pPr>
        <w:contextualSpacing/>
        <w:ind w:firstLine="426"/>
        <w:jc w:val="both"/>
        <w:spacing w:after="0" w:line="240" w:lineRule="auto"/>
        <w:rPr>
          <w:rFonts w:ascii="Arial" w:hAnsi="Arial" w:eastAsia="Times New Roman" w:cs="Arial"/>
          <w:lang w:eastAsia="ru-RU"/>
        </w:rPr>
      </w:pPr>
      <w:r>
        <w:rPr>
          <w:rFonts w:ascii="Arial" w:hAnsi="Arial" w:eastAsia="Times New Roman" w:cs="Arial"/>
          <w:lang w:eastAsia="ru-RU"/>
        </w:rPr>
      </w:r>
      <w:r>
        <w:rPr>
          <w:rFonts w:ascii="Arial" w:hAnsi="Arial" w:eastAsia="Times New Roman" w:cs="Arial"/>
          <w:lang w:eastAsia="ru-RU"/>
        </w:rPr>
      </w:r>
      <w:r>
        <w:rPr>
          <w:rFonts w:ascii="Arial" w:hAnsi="Arial" w:eastAsia="Times New Roman" w:cs="Arial"/>
          <w:lang w:eastAsia="ru-RU"/>
        </w:rPr>
      </w:r>
    </w:p>
    <w:p>
      <w:pPr>
        <w:contextualSpacing/>
        <w:jc w:val="both"/>
        <w:spacing w:after="0" w:line="240" w:lineRule="auto"/>
        <w:rPr>
          <w:rFonts w:ascii="Arial" w:hAnsi="Arial" w:eastAsia="Times New Roman" w:cs="Arial"/>
          <w:lang w:eastAsia="ru-RU"/>
        </w:rPr>
      </w:pPr>
      <w:r>
        <w:rPr>
          <w:rFonts w:ascii="Arial" w:hAnsi="Arial" w:eastAsia="Times New Roman" w:cs="Arial"/>
          <w:lang w:eastAsia="ru-RU"/>
        </w:rPr>
      </w:r>
      <w:r>
        <w:rPr>
          <w:rFonts w:ascii="Arial" w:hAnsi="Arial" w:eastAsia="Times New Roman" w:cs="Arial"/>
          <w:lang w:eastAsia="ru-RU"/>
        </w:rPr>
      </w:r>
      <w:r>
        <w:rPr>
          <w:rFonts w:ascii="Arial" w:hAnsi="Arial" w:eastAsia="Times New Roman" w:cs="Arial"/>
          <w:lang w:eastAsia="ru-RU"/>
        </w:rPr>
      </w:r>
    </w:p>
    <w:p>
      <w:pPr>
        <w:contextualSpacing/>
        <w:jc w:val="both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spacing w:line="240" w:lineRule="auto"/>
        <w:tabs>
          <w:tab w:val="left" w:pos="567" w:leader="none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</w:r>
    </w:p>
    <w:p>
      <w:pPr>
        <w:spacing w:line="240" w:lineRule="auto"/>
        <w:tabs>
          <w:tab w:val="left" w:pos="567" w:leader="none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</w:r>
    </w:p>
    <w:p>
      <w:pPr>
        <w:spacing w:line="240" w:lineRule="auto"/>
        <w:tabs>
          <w:tab w:val="left" w:pos="567" w:leader="none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</w:r>
    </w:p>
    <w:p>
      <w:pPr>
        <w:spacing w:line="240" w:lineRule="auto"/>
        <w:tabs>
          <w:tab w:val="left" w:pos="567" w:leader="none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</w:r>
    </w:p>
    <w:p>
      <w:pPr>
        <w:spacing w:line="240" w:lineRule="auto"/>
        <w:tabs>
          <w:tab w:val="left" w:pos="567" w:leader="none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</w:r>
    </w:p>
    <w:p>
      <w:pPr>
        <w:spacing w:line="240" w:lineRule="auto"/>
        <w:tabs>
          <w:tab w:val="left" w:pos="567" w:leader="none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</w:r>
    </w:p>
    <w:p>
      <w:pPr>
        <w:spacing w:line="240" w:lineRule="auto"/>
        <w:tabs>
          <w:tab w:val="left" w:pos="567" w:leader="none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</w:r>
    </w:p>
    <w:p>
      <w:pPr>
        <w:spacing w:line="240" w:lineRule="auto"/>
        <w:tabs>
          <w:tab w:val="left" w:pos="567" w:leader="none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</w:r>
    </w:p>
    <w:p>
      <w:pPr>
        <w:spacing w:line="240" w:lineRule="auto"/>
        <w:tabs>
          <w:tab w:val="left" w:pos="567" w:leader="none"/>
        </w:tabs>
        <w:rPr>
          <w:rFonts w:ascii="Arial" w:hAnsi="Arial" w:cs="Arial"/>
          <w:sz w:val="18"/>
          <w:szCs w:val="18"/>
        </w:rPr>
      </w:pPr>
      <w:r/>
      <w:bookmarkStart w:id="0" w:name="_GoBack"/>
      <w:r/>
      <w:bookmarkEnd w:id="0"/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</w:r>
    </w:p>
    <w:sectPr>
      <w:footnotePr/>
      <w:endnotePr/>
      <w:type w:val="nextPage"/>
      <w:pgSz w:w="11906" w:h="16838" w:orient="portrait"/>
      <w:pgMar w:top="567" w:right="707" w:bottom="568" w:left="993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29"/>
    <w:next w:val="829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0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29"/>
    <w:next w:val="829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basedOn w:val="830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29"/>
    <w:next w:val="829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basedOn w:val="830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29"/>
    <w:next w:val="829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basedOn w:val="830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29"/>
    <w:next w:val="829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basedOn w:val="830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29"/>
    <w:next w:val="829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basedOn w:val="830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29"/>
    <w:next w:val="829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basedOn w:val="830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29"/>
    <w:next w:val="829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basedOn w:val="830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29"/>
    <w:next w:val="829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basedOn w:val="830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No Spacing"/>
    <w:uiPriority w:val="1"/>
    <w:qFormat/>
    <w:pPr>
      <w:spacing w:before="0" w:after="0" w:line="240" w:lineRule="auto"/>
    </w:pPr>
  </w:style>
  <w:style w:type="paragraph" w:styleId="675">
    <w:name w:val="Title"/>
    <w:basedOn w:val="829"/>
    <w:next w:val="829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basedOn w:val="830"/>
    <w:link w:val="675"/>
    <w:uiPriority w:val="10"/>
    <w:rPr>
      <w:sz w:val="48"/>
      <w:szCs w:val="48"/>
    </w:rPr>
  </w:style>
  <w:style w:type="paragraph" w:styleId="677">
    <w:name w:val="Subtitle"/>
    <w:basedOn w:val="829"/>
    <w:next w:val="829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basedOn w:val="830"/>
    <w:link w:val="677"/>
    <w:uiPriority w:val="11"/>
    <w:rPr>
      <w:sz w:val="24"/>
      <w:szCs w:val="24"/>
    </w:rPr>
  </w:style>
  <w:style w:type="paragraph" w:styleId="679">
    <w:name w:val="Quote"/>
    <w:basedOn w:val="829"/>
    <w:next w:val="829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829"/>
    <w:next w:val="829"/>
    <w:link w:val="6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character" w:styleId="683">
    <w:name w:val="Header Char"/>
    <w:basedOn w:val="830"/>
    <w:link w:val="841"/>
    <w:uiPriority w:val="99"/>
  </w:style>
  <w:style w:type="character" w:styleId="684">
    <w:name w:val="Footer Char"/>
    <w:basedOn w:val="830"/>
    <w:link w:val="843"/>
    <w:uiPriority w:val="99"/>
  </w:style>
  <w:style w:type="paragraph" w:styleId="685">
    <w:name w:val="Caption"/>
    <w:basedOn w:val="829"/>
    <w:next w:val="829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basedOn w:val="685"/>
    <w:link w:val="843"/>
    <w:uiPriority w:val="99"/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2">
    <w:name w:val="footnote text"/>
    <w:basedOn w:val="829"/>
    <w:link w:val="813"/>
    <w:uiPriority w:val="99"/>
    <w:semiHidden/>
    <w:unhideWhenUsed/>
    <w:pPr>
      <w:spacing w:after="40" w:line="240" w:lineRule="auto"/>
    </w:pPr>
    <w:rPr>
      <w:sz w:val="18"/>
    </w:rPr>
  </w:style>
  <w:style w:type="character" w:styleId="813">
    <w:name w:val="Footnote Text Char"/>
    <w:link w:val="812"/>
    <w:uiPriority w:val="99"/>
    <w:rPr>
      <w:sz w:val="18"/>
    </w:rPr>
  </w:style>
  <w:style w:type="character" w:styleId="814">
    <w:name w:val="footnote reference"/>
    <w:basedOn w:val="830"/>
    <w:uiPriority w:val="99"/>
    <w:unhideWhenUsed/>
    <w:rPr>
      <w:vertAlign w:val="superscript"/>
    </w:rPr>
  </w:style>
  <w:style w:type="paragraph" w:styleId="815">
    <w:name w:val="endnote text"/>
    <w:basedOn w:val="829"/>
    <w:link w:val="816"/>
    <w:uiPriority w:val="99"/>
    <w:semiHidden/>
    <w:unhideWhenUsed/>
    <w:pPr>
      <w:spacing w:after="0" w:line="240" w:lineRule="auto"/>
    </w:pPr>
    <w:rPr>
      <w:sz w:val="20"/>
    </w:rPr>
  </w:style>
  <w:style w:type="character" w:styleId="816">
    <w:name w:val="Endnote Text Char"/>
    <w:link w:val="815"/>
    <w:uiPriority w:val="99"/>
    <w:rPr>
      <w:sz w:val="20"/>
    </w:rPr>
  </w:style>
  <w:style w:type="character" w:styleId="817">
    <w:name w:val="endnote reference"/>
    <w:basedOn w:val="830"/>
    <w:uiPriority w:val="99"/>
    <w:semiHidden/>
    <w:unhideWhenUsed/>
    <w:rPr>
      <w:vertAlign w:val="superscript"/>
    </w:rPr>
  </w:style>
  <w:style w:type="paragraph" w:styleId="818">
    <w:name w:val="toc 1"/>
    <w:basedOn w:val="829"/>
    <w:next w:val="829"/>
    <w:uiPriority w:val="39"/>
    <w:unhideWhenUsed/>
    <w:pPr>
      <w:ind w:left="0" w:right="0" w:firstLine="0"/>
      <w:spacing w:after="57"/>
    </w:pPr>
  </w:style>
  <w:style w:type="paragraph" w:styleId="819">
    <w:name w:val="toc 2"/>
    <w:basedOn w:val="829"/>
    <w:next w:val="829"/>
    <w:uiPriority w:val="39"/>
    <w:unhideWhenUsed/>
    <w:pPr>
      <w:ind w:left="283" w:right="0" w:firstLine="0"/>
      <w:spacing w:after="57"/>
    </w:pPr>
  </w:style>
  <w:style w:type="paragraph" w:styleId="820">
    <w:name w:val="toc 3"/>
    <w:basedOn w:val="829"/>
    <w:next w:val="829"/>
    <w:uiPriority w:val="39"/>
    <w:unhideWhenUsed/>
    <w:pPr>
      <w:ind w:left="567" w:right="0" w:firstLine="0"/>
      <w:spacing w:after="57"/>
    </w:pPr>
  </w:style>
  <w:style w:type="paragraph" w:styleId="821">
    <w:name w:val="toc 4"/>
    <w:basedOn w:val="829"/>
    <w:next w:val="829"/>
    <w:uiPriority w:val="39"/>
    <w:unhideWhenUsed/>
    <w:pPr>
      <w:ind w:left="850" w:right="0" w:firstLine="0"/>
      <w:spacing w:after="57"/>
    </w:pPr>
  </w:style>
  <w:style w:type="paragraph" w:styleId="822">
    <w:name w:val="toc 5"/>
    <w:basedOn w:val="829"/>
    <w:next w:val="829"/>
    <w:uiPriority w:val="39"/>
    <w:unhideWhenUsed/>
    <w:pPr>
      <w:ind w:left="1134" w:right="0" w:firstLine="0"/>
      <w:spacing w:after="57"/>
    </w:pPr>
  </w:style>
  <w:style w:type="paragraph" w:styleId="823">
    <w:name w:val="toc 6"/>
    <w:basedOn w:val="829"/>
    <w:next w:val="829"/>
    <w:uiPriority w:val="39"/>
    <w:unhideWhenUsed/>
    <w:pPr>
      <w:ind w:left="1417" w:right="0" w:firstLine="0"/>
      <w:spacing w:after="57"/>
    </w:pPr>
  </w:style>
  <w:style w:type="paragraph" w:styleId="824">
    <w:name w:val="toc 7"/>
    <w:basedOn w:val="829"/>
    <w:next w:val="829"/>
    <w:uiPriority w:val="39"/>
    <w:unhideWhenUsed/>
    <w:pPr>
      <w:ind w:left="1701" w:right="0" w:firstLine="0"/>
      <w:spacing w:after="57"/>
    </w:pPr>
  </w:style>
  <w:style w:type="paragraph" w:styleId="825">
    <w:name w:val="toc 8"/>
    <w:basedOn w:val="829"/>
    <w:next w:val="829"/>
    <w:uiPriority w:val="39"/>
    <w:unhideWhenUsed/>
    <w:pPr>
      <w:ind w:left="1984" w:right="0" w:firstLine="0"/>
      <w:spacing w:after="57"/>
    </w:pPr>
  </w:style>
  <w:style w:type="paragraph" w:styleId="826">
    <w:name w:val="toc 9"/>
    <w:basedOn w:val="829"/>
    <w:next w:val="829"/>
    <w:uiPriority w:val="39"/>
    <w:unhideWhenUsed/>
    <w:pPr>
      <w:ind w:left="2268" w:right="0" w:firstLine="0"/>
      <w:spacing w:after="57"/>
    </w:pPr>
  </w:style>
  <w:style w:type="paragraph" w:styleId="827">
    <w:name w:val="TOC Heading"/>
    <w:uiPriority w:val="39"/>
    <w:unhideWhenUsed/>
  </w:style>
  <w:style w:type="paragraph" w:styleId="828">
    <w:name w:val="table of figures"/>
    <w:basedOn w:val="829"/>
    <w:next w:val="829"/>
    <w:uiPriority w:val="99"/>
    <w:unhideWhenUsed/>
    <w:pPr>
      <w:spacing w:after="0" w:afterAutospacing="0"/>
    </w:pPr>
  </w:style>
  <w:style w:type="paragraph" w:styleId="829" w:default="1">
    <w:name w:val="Normal"/>
    <w:qFormat/>
  </w:style>
  <w:style w:type="character" w:styleId="830" w:default="1">
    <w:name w:val="Default Paragraph Font"/>
    <w:uiPriority w:val="1"/>
    <w:semiHidden/>
    <w:unhideWhenUsed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paragraph" w:styleId="833">
    <w:name w:val="Balloon Text"/>
    <w:basedOn w:val="829"/>
    <w:link w:val="83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34" w:customStyle="1">
    <w:name w:val="Текст выноски Знак"/>
    <w:basedOn w:val="830"/>
    <w:link w:val="833"/>
    <w:uiPriority w:val="99"/>
    <w:semiHidden/>
    <w:rPr>
      <w:rFonts w:ascii="Segoe UI" w:hAnsi="Segoe UI" w:cs="Segoe UI"/>
      <w:sz w:val="18"/>
      <w:szCs w:val="18"/>
    </w:rPr>
  </w:style>
  <w:style w:type="character" w:styleId="835">
    <w:name w:val="Hyperlink"/>
    <w:basedOn w:val="830"/>
    <w:uiPriority w:val="99"/>
    <w:unhideWhenUsed/>
    <w:rPr>
      <w:color w:val="0563c1" w:themeColor="hyperlink"/>
      <w:u w:val="single"/>
    </w:rPr>
  </w:style>
  <w:style w:type="paragraph" w:styleId="836">
    <w:name w:val="List Paragraph"/>
    <w:basedOn w:val="829"/>
    <w:uiPriority w:val="34"/>
    <w:qFormat/>
    <w:pPr>
      <w:contextualSpacing/>
      <w:ind w:left="720"/>
    </w:pPr>
  </w:style>
  <w:style w:type="table" w:styleId="837">
    <w:name w:val="Table Grid"/>
    <w:basedOn w:val="831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38" w:customStyle="1">
    <w:name w:val="object"/>
    <w:basedOn w:val="830"/>
  </w:style>
  <w:style w:type="paragraph" w:styleId="839">
    <w:name w:val="Normal (Web)"/>
    <w:basedOn w:val="829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40">
    <w:name w:val="Emphasis"/>
    <w:basedOn w:val="830"/>
    <w:uiPriority w:val="20"/>
    <w:qFormat/>
    <w:rPr>
      <w:i/>
      <w:iCs/>
    </w:rPr>
  </w:style>
  <w:style w:type="paragraph" w:styleId="841">
    <w:name w:val="Header"/>
    <w:basedOn w:val="829"/>
    <w:link w:val="84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2" w:customStyle="1">
    <w:name w:val="Верхний колонтитул Знак"/>
    <w:basedOn w:val="830"/>
    <w:link w:val="841"/>
    <w:uiPriority w:val="99"/>
  </w:style>
  <w:style w:type="paragraph" w:styleId="843">
    <w:name w:val="Footer"/>
    <w:basedOn w:val="829"/>
    <w:link w:val="844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4" w:customStyle="1">
    <w:name w:val="Нижний колонтитул Знак"/>
    <w:basedOn w:val="830"/>
    <w:link w:val="843"/>
    <w:uiPriority w:val="99"/>
  </w:style>
  <w:style w:type="paragraph" w:styleId="845">
    <w:name w:val="Body Text"/>
    <w:basedOn w:val="829"/>
    <w:link w:val="847"/>
    <w:pPr>
      <w:ind w:firstLine="851"/>
      <w:jc w:val="both"/>
      <w:spacing w:after="0" w:line="240" w:lineRule="auto"/>
      <w:widowControl w:val="off"/>
    </w:pPr>
    <w:rPr>
      <w:rFonts w:ascii="Arial" w:hAnsi="Arial" w:eastAsia="Times New Roman" w:cs="Arial"/>
      <w:sz w:val="24"/>
      <w:szCs w:val="20"/>
      <w:lang w:eastAsia="ru-RU"/>
    </w:rPr>
  </w:style>
  <w:style w:type="character" w:styleId="846" w:customStyle="1">
    <w:name w:val="Основной текст Знак"/>
    <w:basedOn w:val="830"/>
    <w:uiPriority w:val="99"/>
    <w:semiHidden/>
  </w:style>
  <w:style w:type="character" w:styleId="847" w:customStyle="1">
    <w:name w:val="Основной текст Знак1"/>
    <w:basedOn w:val="830"/>
    <w:link w:val="845"/>
    <w:rPr>
      <w:rFonts w:ascii="Arial" w:hAnsi="Arial" w:eastAsia="Times New Roman" w:cs="Arial"/>
      <w:sz w:val="24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Гоманенко Галина Васильевна</dc:creator>
  <cp:keywords>Единый ресурс о земле и недвижимости</cp:keywords>
  <dc:description/>
  <cp:lastModifiedBy>Гоманенко</cp:lastModifiedBy>
  <cp:revision>41</cp:revision>
  <dcterms:created xsi:type="dcterms:W3CDTF">2022-09-29T02:49:00Z</dcterms:created>
  <dcterms:modified xsi:type="dcterms:W3CDTF">2026-08-05T02:12:09Z</dcterms:modified>
</cp:coreProperties>
</file>